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B9C" w:rsidRDefault="00901B9C" w:rsidP="006C516B">
      <w:pPr>
        <w:spacing w:after="0" w:line="240" w:lineRule="auto"/>
        <w:ind w:firstLine="709"/>
        <w:rPr>
          <w:rFonts w:ascii="Times New Roman" w:hAnsi="Times New Roman" w:cs="Times New Roman"/>
          <w:b/>
          <w:i/>
          <w:sz w:val="28"/>
          <w:szCs w:val="28"/>
        </w:rPr>
      </w:pPr>
      <w:r w:rsidRPr="006C516B">
        <w:rPr>
          <w:rFonts w:ascii="Times New Roman" w:hAnsi="Times New Roman" w:cs="Times New Roman"/>
          <w:b/>
          <w:i/>
          <w:sz w:val="28"/>
          <w:szCs w:val="28"/>
          <w:lang w:val="en-US"/>
        </w:rPr>
        <w:t xml:space="preserve">7 </w:t>
      </w:r>
      <w:r w:rsidR="006C516B">
        <w:rPr>
          <w:rFonts w:ascii="Times New Roman" w:hAnsi="Times New Roman" w:cs="Times New Roman"/>
          <w:b/>
          <w:i/>
          <w:sz w:val="28"/>
          <w:szCs w:val="28"/>
        </w:rPr>
        <w:t xml:space="preserve"> </w:t>
      </w:r>
      <w:r w:rsidRPr="006C516B">
        <w:rPr>
          <w:rFonts w:ascii="Times New Roman" w:hAnsi="Times New Roman" w:cs="Times New Roman"/>
          <w:b/>
          <w:i/>
          <w:sz w:val="28"/>
          <w:szCs w:val="28"/>
          <w:lang w:val="en-US"/>
        </w:rPr>
        <w:t>Practice</w:t>
      </w:r>
    </w:p>
    <w:p w:rsidR="006C516B" w:rsidRPr="006C516B" w:rsidRDefault="006C516B" w:rsidP="006C516B">
      <w:pPr>
        <w:spacing w:after="0" w:line="240" w:lineRule="auto"/>
        <w:ind w:firstLine="709"/>
        <w:jc w:val="center"/>
        <w:rPr>
          <w:rFonts w:ascii="Times New Roman" w:hAnsi="Times New Roman" w:cs="Times New Roman"/>
          <w:b/>
          <w:i/>
          <w:sz w:val="16"/>
          <w:szCs w:val="16"/>
        </w:rPr>
      </w:pPr>
    </w:p>
    <w:p w:rsidR="00901B9C" w:rsidRPr="006C516B" w:rsidRDefault="00901B9C" w:rsidP="006C516B">
      <w:pPr>
        <w:spacing w:after="0" w:line="240" w:lineRule="auto"/>
        <w:ind w:firstLine="709"/>
        <w:jc w:val="center"/>
        <w:rPr>
          <w:rFonts w:ascii="Times New Roman" w:hAnsi="Times New Roman" w:cs="Times New Roman"/>
          <w:b/>
          <w:i/>
          <w:sz w:val="28"/>
          <w:szCs w:val="28"/>
          <w:lang w:val="en-US"/>
        </w:rPr>
      </w:pPr>
      <w:r w:rsidRPr="006C516B">
        <w:rPr>
          <w:rFonts w:ascii="Times New Roman" w:hAnsi="Times New Roman" w:cs="Times New Roman"/>
          <w:b/>
          <w:i/>
          <w:sz w:val="28"/>
          <w:szCs w:val="28"/>
          <w:lang w:val="en-US"/>
        </w:rPr>
        <w:t>Major productivity levels, aggregation of elements and building a programming hierarchy</w:t>
      </w:r>
    </w:p>
    <w:p w:rsidR="00901B9C" w:rsidRPr="006C516B" w:rsidRDefault="00901B9C" w:rsidP="006C516B">
      <w:pPr>
        <w:spacing w:after="0" w:line="240" w:lineRule="auto"/>
        <w:ind w:firstLine="709"/>
        <w:jc w:val="center"/>
        <w:rPr>
          <w:rFonts w:ascii="Times New Roman" w:hAnsi="Times New Roman" w:cs="Times New Roman"/>
          <w:b/>
          <w:i/>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In accordance with the theoretical provisions of I.S. </w:t>
      </w:r>
      <w:proofErr w:type="spellStart"/>
      <w:r w:rsidRPr="00901B9C">
        <w:rPr>
          <w:rFonts w:ascii="Times New Roman" w:hAnsi="Times New Roman" w:cs="Times New Roman"/>
          <w:sz w:val="28"/>
          <w:szCs w:val="28"/>
          <w:lang w:val="en-US"/>
        </w:rPr>
        <w:t>Shatilova</w:t>
      </w:r>
      <w:proofErr w:type="spellEnd"/>
      <w:r w:rsidRPr="00901B9C">
        <w:rPr>
          <w:rFonts w:ascii="Times New Roman" w:hAnsi="Times New Roman" w:cs="Times New Roman"/>
          <w:sz w:val="28"/>
          <w:szCs w:val="28"/>
          <w:lang w:val="en-US"/>
        </w:rPr>
        <w:t xml:space="preserve">, A.F. </w:t>
      </w:r>
      <w:proofErr w:type="spellStart"/>
      <w:r w:rsidRPr="00901B9C">
        <w:rPr>
          <w:rFonts w:ascii="Times New Roman" w:hAnsi="Times New Roman" w:cs="Times New Roman"/>
          <w:sz w:val="28"/>
          <w:szCs w:val="28"/>
          <w:lang w:val="en-US"/>
        </w:rPr>
        <w:t>Chudnovsky</w:t>
      </w:r>
      <w:proofErr w:type="spellEnd"/>
      <w:r w:rsidRPr="00901B9C">
        <w:rPr>
          <w:rFonts w:ascii="Times New Roman" w:hAnsi="Times New Roman" w:cs="Times New Roman"/>
          <w:sz w:val="28"/>
          <w:szCs w:val="28"/>
          <w:lang w:val="en-US"/>
        </w:rPr>
        <w:t xml:space="preserve">, V.A. </w:t>
      </w:r>
      <w:proofErr w:type="spellStart"/>
      <w:r w:rsidRPr="00901B9C">
        <w:rPr>
          <w:rFonts w:ascii="Times New Roman" w:hAnsi="Times New Roman" w:cs="Times New Roman"/>
          <w:sz w:val="28"/>
          <w:szCs w:val="28"/>
          <w:lang w:val="en-US"/>
        </w:rPr>
        <w:t>Platonova</w:t>
      </w:r>
      <w:proofErr w:type="spellEnd"/>
      <w:r w:rsidRPr="00901B9C">
        <w:rPr>
          <w:rFonts w:ascii="Times New Roman" w:hAnsi="Times New Roman" w:cs="Times New Roman"/>
          <w:sz w:val="28"/>
          <w:szCs w:val="28"/>
          <w:lang w:val="en-US"/>
        </w:rPr>
        <w:t xml:space="preserve">, R.A. </w:t>
      </w:r>
      <w:proofErr w:type="spellStart"/>
      <w:r w:rsidRPr="00901B9C">
        <w:rPr>
          <w:rFonts w:ascii="Times New Roman" w:hAnsi="Times New Roman" w:cs="Times New Roman"/>
          <w:sz w:val="28"/>
          <w:szCs w:val="28"/>
          <w:lang w:val="en-US"/>
        </w:rPr>
        <w:t>Poluektova</w:t>
      </w:r>
      <w:proofErr w:type="spellEnd"/>
      <w:r w:rsidRPr="00901B9C">
        <w:rPr>
          <w:rFonts w:ascii="Times New Roman" w:hAnsi="Times New Roman" w:cs="Times New Roman"/>
          <w:sz w:val="28"/>
          <w:szCs w:val="28"/>
          <w:lang w:val="en-US"/>
        </w:rPr>
        <w:t>, we adopted the following basic levels of land productivity:</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 Crop yield programming (systemic approach applied to land reclamation)</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IDL - the maximum possible yield, achievable only in ideal soil - climatic and production - economic conditions;</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PU - potential yield, where long-term indicators of zonal and soil fertility are taken into account;</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TLU is a really possible harvest, where an assessment of the maximum possible technical yield is given in a given climatic year, limited by controllable factors;</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YX - farm yield, which provides an estimate of the possible yield in the farm, which is under the influence of the actual conditions of origin of individual phases of plant development in a given year;</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 RU - real </w:t>
      </w:r>
      <w:proofErr w:type="gramStart"/>
      <w:r w:rsidRPr="00901B9C">
        <w:rPr>
          <w:rFonts w:ascii="Times New Roman" w:hAnsi="Times New Roman" w:cs="Times New Roman"/>
          <w:sz w:val="28"/>
          <w:szCs w:val="28"/>
          <w:lang w:val="en-US"/>
        </w:rPr>
        <w:t>harvest,</w:t>
      </w:r>
      <w:proofErr w:type="gramEnd"/>
      <w:r w:rsidRPr="00901B9C">
        <w:rPr>
          <w:rFonts w:ascii="Times New Roman" w:hAnsi="Times New Roman" w:cs="Times New Roman"/>
          <w:sz w:val="28"/>
          <w:szCs w:val="28"/>
          <w:lang w:val="en-US"/>
        </w:rPr>
        <w:t xml:space="preserve"> formed taking into account all technological and managerial influences, actually carried out in the current year of work and deviations from the optimum. Z</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The task of programming the yield can be reduced to the expression:</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P</w:t>
      </w:r>
      <w:r w:rsidRPr="00901B9C">
        <w:rPr>
          <w:rFonts w:ascii="Times New Roman" w:hAnsi="Times New Roman" w:cs="Times New Roman"/>
          <w:sz w:val="28"/>
          <w:szCs w:val="28"/>
        </w:rPr>
        <w:t>У</w:t>
      </w:r>
      <w:r w:rsidRPr="00901B9C">
        <w:rPr>
          <w:rFonts w:ascii="Times New Roman" w:hAnsi="Times New Roman" w:cs="Times New Roman"/>
          <w:sz w:val="28"/>
          <w:szCs w:val="28"/>
          <w:lang w:val="en-US"/>
        </w:rPr>
        <w:t xml:space="preserve">Lim → </w:t>
      </w:r>
      <w:r w:rsidRPr="00901B9C">
        <w:rPr>
          <w:rFonts w:ascii="Times New Roman" w:hAnsi="Times New Roman" w:cs="Times New Roman"/>
          <w:sz w:val="28"/>
          <w:szCs w:val="28"/>
        </w:rPr>
        <w:t>У</w:t>
      </w:r>
      <w:proofErr w:type="spellStart"/>
      <w:r w:rsidRPr="00901B9C">
        <w:rPr>
          <w:rFonts w:ascii="Times New Roman" w:hAnsi="Times New Roman" w:cs="Times New Roman"/>
          <w:sz w:val="28"/>
          <w:szCs w:val="28"/>
          <w:lang w:val="en-US"/>
        </w:rPr>
        <w:t>XLim</w:t>
      </w:r>
      <w:proofErr w:type="spellEnd"/>
      <w:r w:rsidRPr="00901B9C">
        <w:rPr>
          <w:rFonts w:ascii="Times New Roman" w:hAnsi="Times New Roman" w:cs="Times New Roman"/>
          <w:sz w:val="28"/>
          <w:szCs w:val="28"/>
          <w:lang w:val="en-US"/>
        </w:rPr>
        <w:t xml:space="preserve"> → DB</w:t>
      </w:r>
      <w:r w:rsidRPr="00901B9C">
        <w:rPr>
          <w:rFonts w:ascii="Times New Roman" w:hAnsi="Times New Roman" w:cs="Times New Roman"/>
          <w:sz w:val="28"/>
          <w:szCs w:val="28"/>
        </w:rPr>
        <w:t>У</w:t>
      </w:r>
      <w:r w:rsidRPr="00901B9C">
        <w:rPr>
          <w:rFonts w:ascii="Times New Roman" w:hAnsi="Times New Roman" w:cs="Times New Roman"/>
          <w:sz w:val="28"/>
          <w:szCs w:val="28"/>
          <w:lang w:val="en-US"/>
        </w:rPr>
        <w:t xml:space="preserve">Lim → </w:t>
      </w:r>
      <w:r w:rsidRPr="00901B9C">
        <w:rPr>
          <w:rFonts w:ascii="Times New Roman" w:hAnsi="Times New Roman" w:cs="Times New Roman"/>
          <w:sz w:val="28"/>
          <w:szCs w:val="28"/>
        </w:rPr>
        <w:t>ПУ</w:t>
      </w:r>
      <w:r w:rsidRPr="00901B9C">
        <w:rPr>
          <w:rFonts w:ascii="Times New Roman" w:hAnsi="Times New Roman" w:cs="Times New Roman"/>
          <w:sz w:val="28"/>
          <w:szCs w:val="28"/>
          <w:lang w:val="en-US"/>
        </w:rPr>
        <w:t xml:space="preserve"> → IDU</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In this formulation, the very problem of crop management breaks down into long-term measures that determine the MP, medium-term measures that determine the TLD, the events of a given year that assess the UX, and operational - organizational measures, the consequence of which is the RU.</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Accordingly to each level of productivity, the information and management parts of the system (including regulatory and current information) should be built.</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roofErr w:type="gramStart"/>
      <w:r w:rsidRPr="00901B9C">
        <w:rPr>
          <w:rFonts w:ascii="Times New Roman" w:hAnsi="Times New Roman" w:cs="Times New Roman"/>
          <w:sz w:val="28"/>
          <w:szCs w:val="28"/>
          <w:lang w:val="en-US"/>
        </w:rPr>
        <w:t>where</w:t>
      </w:r>
      <w:proofErr w:type="gramEnd"/>
      <w:r w:rsidRPr="00901B9C">
        <w:rPr>
          <w:rFonts w:ascii="Times New Roman" w:hAnsi="Times New Roman" w:cs="Times New Roman"/>
          <w:sz w:val="28"/>
          <w:szCs w:val="28"/>
          <w:lang w:val="en-US"/>
        </w:rPr>
        <w:t xml:space="preserve"> ∑QFAR is the average long-term arrival of photoactive radiation during the growing season, kcal / cm2;</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roofErr w:type="gramStart"/>
      <w:r w:rsidRPr="00901B9C">
        <w:rPr>
          <w:rFonts w:ascii="Times New Roman" w:hAnsi="Times New Roman" w:cs="Times New Roman"/>
          <w:sz w:val="28"/>
          <w:szCs w:val="28"/>
          <w:lang w:val="en-US"/>
        </w:rPr>
        <w:t>q</w:t>
      </w:r>
      <w:proofErr w:type="gramEnd"/>
      <w:r w:rsidRPr="00901B9C">
        <w:rPr>
          <w:rFonts w:ascii="Times New Roman" w:hAnsi="Times New Roman" w:cs="Times New Roman"/>
          <w:sz w:val="28"/>
          <w:szCs w:val="28"/>
          <w:lang w:val="en-US"/>
        </w:rPr>
        <w:t xml:space="preserve"> is the calorie content of the crop;</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 </w:t>
      </w:r>
      <w:r w:rsidRPr="00901B9C">
        <w:rPr>
          <w:rFonts w:ascii="Times New Roman" w:hAnsi="Times New Roman" w:cs="Times New Roman"/>
          <w:sz w:val="28"/>
          <w:szCs w:val="28"/>
        </w:rPr>
        <w:t>ηФ</w:t>
      </w:r>
      <w:r w:rsidRPr="00901B9C">
        <w:rPr>
          <w:rFonts w:ascii="Times New Roman" w:hAnsi="Times New Roman" w:cs="Times New Roman"/>
          <w:sz w:val="28"/>
          <w:szCs w:val="28"/>
          <w:lang w:val="en-US"/>
        </w:rPr>
        <w:t xml:space="preserve"> - efficiency of photosynthesis;</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rPr>
        <w:t>К</w:t>
      </w:r>
      <w:r w:rsidRPr="00901B9C">
        <w:rPr>
          <w:rFonts w:ascii="Times New Roman" w:hAnsi="Times New Roman" w:cs="Times New Roman"/>
          <w:sz w:val="28"/>
          <w:szCs w:val="28"/>
          <w:lang w:val="en-US"/>
        </w:rPr>
        <w:t xml:space="preserve"> - coefficient of transition from </w:t>
      </w:r>
      <w:proofErr w:type="spellStart"/>
      <w:r w:rsidRPr="00901B9C">
        <w:rPr>
          <w:rFonts w:ascii="Times New Roman" w:hAnsi="Times New Roman" w:cs="Times New Roman"/>
          <w:sz w:val="28"/>
          <w:szCs w:val="28"/>
          <w:lang w:val="en-US"/>
        </w:rPr>
        <w:t>phytomass</w:t>
      </w:r>
      <w:proofErr w:type="spellEnd"/>
      <w:r w:rsidRPr="00901B9C">
        <w:rPr>
          <w:rFonts w:ascii="Times New Roman" w:hAnsi="Times New Roman" w:cs="Times New Roman"/>
          <w:sz w:val="28"/>
          <w:szCs w:val="28"/>
          <w:lang w:val="en-US"/>
        </w:rPr>
        <w:t xml:space="preserve"> to yield.</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roofErr w:type="gramStart"/>
      <w:r w:rsidRPr="00901B9C">
        <w:rPr>
          <w:rFonts w:ascii="Times New Roman" w:hAnsi="Times New Roman" w:cs="Times New Roman"/>
          <w:sz w:val="28"/>
          <w:szCs w:val="28"/>
          <w:lang w:val="en-US"/>
        </w:rPr>
        <w:t>where</w:t>
      </w:r>
      <w:proofErr w:type="gramEnd"/>
      <w:r w:rsidRPr="00901B9C">
        <w:rPr>
          <w:rFonts w:ascii="Times New Roman" w:hAnsi="Times New Roman" w:cs="Times New Roman"/>
          <w:sz w:val="28"/>
          <w:szCs w:val="28"/>
          <w:lang w:val="en-US"/>
        </w:rPr>
        <w:t xml:space="preserve"> QFAR - direct photoactive radiation;</w:t>
      </w:r>
    </w:p>
    <w:p w:rsidR="00901B9C" w:rsidRPr="00901B9C" w:rsidRDefault="00901B9C" w:rsidP="00901B9C">
      <w:pPr>
        <w:spacing w:after="0" w:line="240" w:lineRule="auto"/>
        <w:ind w:firstLine="709"/>
        <w:jc w:val="both"/>
        <w:rPr>
          <w:rFonts w:ascii="Times New Roman" w:hAnsi="Times New Roman" w:cs="Times New Roman"/>
          <w:sz w:val="28"/>
          <w:szCs w:val="28"/>
        </w:rPr>
      </w:pPr>
      <w:r w:rsidRPr="00901B9C">
        <w:rPr>
          <w:rFonts w:ascii="Times New Roman" w:hAnsi="Times New Roman" w:cs="Times New Roman"/>
          <w:sz w:val="28"/>
          <w:szCs w:val="28"/>
          <w:lang w:val="en-US"/>
        </w:rPr>
        <w:t xml:space="preserve"> </w:t>
      </w:r>
      <w:r w:rsidRPr="00901B9C">
        <w:rPr>
          <w:rFonts w:ascii="Times New Roman" w:hAnsi="Times New Roman" w:cs="Times New Roman"/>
          <w:sz w:val="28"/>
          <w:szCs w:val="28"/>
        </w:rPr>
        <w:t xml:space="preserve">S ′ - </w:t>
      </w:r>
      <w:proofErr w:type="spellStart"/>
      <w:r w:rsidRPr="00901B9C">
        <w:rPr>
          <w:rFonts w:ascii="Times New Roman" w:hAnsi="Times New Roman" w:cs="Times New Roman"/>
          <w:sz w:val="28"/>
          <w:szCs w:val="28"/>
        </w:rPr>
        <w:t>direct</w:t>
      </w:r>
      <w:proofErr w:type="spellEnd"/>
      <w:r w:rsidRPr="00901B9C">
        <w:rPr>
          <w:rFonts w:ascii="Times New Roman" w:hAnsi="Times New Roman" w:cs="Times New Roman"/>
          <w:sz w:val="28"/>
          <w:szCs w:val="28"/>
        </w:rPr>
        <w:t xml:space="preserve"> </w:t>
      </w:r>
      <w:proofErr w:type="spellStart"/>
      <w:r w:rsidRPr="00901B9C">
        <w:rPr>
          <w:rFonts w:ascii="Times New Roman" w:hAnsi="Times New Roman" w:cs="Times New Roman"/>
          <w:sz w:val="28"/>
          <w:szCs w:val="28"/>
        </w:rPr>
        <w:t>solar</w:t>
      </w:r>
      <w:proofErr w:type="spellEnd"/>
      <w:r w:rsidRPr="00901B9C">
        <w:rPr>
          <w:rFonts w:ascii="Times New Roman" w:hAnsi="Times New Roman" w:cs="Times New Roman"/>
          <w:sz w:val="28"/>
          <w:szCs w:val="28"/>
        </w:rPr>
        <w:t xml:space="preserve"> </w:t>
      </w:r>
      <w:proofErr w:type="spellStart"/>
      <w:r w:rsidRPr="00901B9C">
        <w:rPr>
          <w:rFonts w:ascii="Times New Roman" w:hAnsi="Times New Roman" w:cs="Times New Roman"/>
          <w:sz w:val="28"/>
          <w:szCs w:val="28"/>
        </w:rPr>
        <w:t>radiation</w:t>
      </w:r>
      <w:proofErr w:type="spellEnd"/>
      <w:r w:rsidRPr="00901B9C">
        <w:rPr>
          <w:rFonts w:ascii="Times New Roman" w:hAnsi="Times New Roman" w:cs="Times New Roman"/>
          <w:sz w:val="28"/>
          <w:szCs w:val="28"/>
        </w:rPr>
        <w:t>;</w:t>
      </w:r>
    </w:p>
    <w:p w:rsidR="00440FEA" w:rsidRPr="00901B9C" w:rsidRDefault="00901B9C" w:rsidP="00901B9C">
      <w:pPr>
        <w:spacing w:after="0" w:line="240" w:lineRule="auto"/>
        <w:ind w:firstLine="709"/>
        <w:jc w:val="both"/>
        <w:rPr>
          <w:rFonts w:ascii="Times New Roman" w:hAnsi="Times New Roman" w:cs="Times New Roman"/>
          <w:sz w:val="28"/>
          <w:szCs w:val="28"/>
        </w:rPr>
      </w:pPr>
      <w:r w:rsidRPr="00901B9C">
        <w:rPr>
          <w:rFonts w:ascii="Times New Roman" w:hAnsi="Times New Roman" w:cs="Times New Roman"/>
          <w:sz w:val="28"/>
          <w:szCs w:val="28"/>
        </w:rPr>
        <w:t xml:space="preserve">D - </w:t>
      </w:r>
      <w:proofErr w:type="spellStart"/>
      <w:r w:rsidRPr="00901B9C">
        <w:rPr>
          <w:rFonts w:ascii="Times New Roman" w:hAnsi="Times New Roman" w:cs="Times New Roman"/>
          <w:sz w:val="28"/>
          <w:szCs w:val="28"/>
        </w:rPr>
        <w:t>diffused</w:t>
      </w:r>
      <w:proofErr w:type="spellEnd"/>
      <w:r w:rsidRPr="00901B9C">
        <w:rPr>
          <w:rFonts w:ascii="Times New Roman" w:hAnsi="Times New Roman" w:cs="Times New Roman"/>
          <w:sz w:val="28"/>
          <w:szCs w:val="28"/>
        </w:rPr>
        <w:t xml:space="preserve"> </w:t>
      </w:r>
      <w:proofErr w:type="spellStart"/>
      <w:r w:rsidRPr="00901B9C">
        <w:rPr>
          <w:rFonts w:ascii="Times New Roman" w:hAnsi="Times New Roman" w:cs="Times New Roman"/>
          <w:sz w:val="28"/>
          <w:szCs w:val="28"/>
        </w:rPr>
        <w:t>solar</w:t>
      </w:r>
      <w:proofErr w:type="spellEnd"/>
      <w:r w:rsidRPr="00901B9C">
        <w:rPr>
          <w:rFonts w:ascii="Times New Roman" w:hAnsi="Times New Roman" w:cs="Times New Roman"/>
          <w:sz w:val="28"/>
          <w:szCs w:val="28"/>
        </w:rPr>
        <w:t xml:space="preserve"> </w:t>
      </w:r>
      <w:proofErr w:type="spellStart"/>
      <w:r w:rsidRPr="00901B9C">
        <w:rPr>
          <w:rFonts w:ascii="Times New Roman" w:hAnsi="Times New Roman" w:cs="Times New Roman"/>
          <w:sz w:val="28"/>
          <w:szCs w:val="28"/>
        </w:rPr>
        <w:t>radiation</w:t>
      </w:r>
      <w:proofErr w:type="spellEnd"/>
      <w:r w:rsidRPr="00901B9C">
        <w:rPr>
          <w:rFonts w:ascii="Times New Roman" w:hAnsi="Times New Roman" w:cs="Times New Roman"/>
          <w:sz w:val="28"/>
          <w:szCs w:val="28"/>
        </w:rPr>
        <w:t>.</w:t>
      </w:r>
    </w:p>
    <w:p w:rsidR="00901B9C" w:rsidRPr="00901B9C" w:rsidRDefault="00901B9C" w:rsidP="00901B9C">
      <w:pPr>
        <w:spacing w:after="0" w:line="240" w:lineRule="auto"/>
        <w:ind w:firstLine="709"/>
        <w:jc w:val="both"/>
        <w:rPr>
          <w:rFonts w:ascii="Times New Roman" w:hAnsi="Times New Roman" w:cs="Times New Roman"/>
          <w:sz w:val="28"/>
          <w:szCs w:val="28"/>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Fertilizers</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 An important link in </w:t>
      </w:r>
      <w:proofErr w:type="spellStart"/>
      <w:r w:rsidRPr="00901B9C">
        <w:rPr>
          <w:rFonts w:ascii="Times New Roman" w:hAnsi="Times New Roman" w:cs="Times New Roman"/>
          <w:sz w:val="28"/>
          <w:szCs w:val="28"/>
          <w:lang w:val="en-US"/>
        </w:rPr>
        <w:t>biologized</w:t>
      </w:r>
      <w:proofErr w:type="spellEnd"/>
      <w:r w:rsidRPr="00901B9C">
        <w:rPr>
          <w:rFonts w:ascii="Times New Roman" w:hAnsi="Times New Roman" w:cs="Times New Roman"/>
          <w:sz w:val="28"/>
          <w:szCs w:val="28"/>
          <w:lang w:val="en-US"/>
        </w:rPr>
        <w:t xml:space="preserve"> farming systems are economical and environmentally friendly methods of applying fertilizers and the use of biological methods for reproduction of soil fertility. Energy-saving environmentally balanced technologies for the use of agricultural chemicals require a change in approaches to </w:t>
      </w:r>
      <w:r w:rsidRPr="00901B9C">
        <w:rPr>
          <w:rFonts w:ascii="Times New Roman" w:hAnsi="Times New Roman" w:cs="Times New Roman"/>
          <w:sz w:val="28"/>
          <w:szCs w:val="28"/>
          <w:lang w:val="en-US"/>
        </w:rPr>
        <w:lastRenderedPageBreak/>
        <w:t>the timing and methods of their use based on the principles of the relationship between the agrochemical properties of soil and crop productivity, the level of fertilizer use and soil fertility, growing conditions and the level of return on fertilizers. The approaches to the methods of soil fertility reproduction are also changing.</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They are primarily based on biological agents that envisage the use of unconventional sources of organic fertilizers (straw, green manure, stubble-root residues of perennial grasses and biological products) against the background of resource-saving technologies in addition to manure. It has been established that fertilizer systems formed according to the principle of combining </w:t>
      </w:r>
      <w:proofErr w:type="spellStart"/>
      <w:r w:rsidRPr="00901B9C">
        <w:rPr>
          <w:rFonts w:ascii="Times New Roman" w:hAnsi="Times New Roman" w:cs="Times New Roman"/>
          <w:sz w:val="28"/>
          <w:szCs w:val="28"/>
          <w:lang w:val="en-US"/>
        </w:rPr>
        <w:t>technogenic</w:t>
      </w:r>
      <w:proofErr w:type="spellEnd"/>
      <w:r w:rsidRPr="00901B9C">
        <w:rPr>
          <w:rFonts w:ascii="Times New Roman" w:hAnsi="Times New Roman" w:cs="Times New Roman"/>
          <w:sz w:val="28"/>
          <w:szCs w:val="28"/>
          <w:lang w:val="en-US"/>
        </w:rPr>
        <w:t xml:space="preserve"> and biological means of reproducing soil fertility are most responsive to resource and energy conservation - the cost of fertilizers is reduced in this case by 30-40%, their payback and </w:t>
      </w:r>
      <w:proofErr w:type="spellStart"/>
      <w:r w:rsidRPr="00901B9C">
        <w:rPr>
          <w:rFonts w:ascii="Times New Roman" w:hAnsi="Times New Roman" w:cs="Times New Roman"/>
          <w:sz w:val="28"/>
          <w:szCs w:val="28"/>
          <w:lang w:val="en-US"/>
        </w:rPr>
        <w:t>bioenergy</w:t>
      </w:r>
      <w:proofErr w:type="spellEnd"/>
      <w:r w:rsidRPr="00901B9C">
        <w:rPr>
          <w:rFonts w:ascii="Times New Roman" w:hAnsi="Times New Roman" w:cs="Times New Roman"/>
          <w:sz w:val="28"/>
          <w:szCs w:val="28"/>
          <w:lang w:val="en-US"/>
        </w:rPr>
        <w:t xml:space="preserve"> efficiency are increased, funds are saved for the purchase of agricultural </w:t>
      </w:r>
      <w:proofErr w:type="gramStart"/>
      <w:r w:rsidRPr="00901B9C">
        <w:rPr>
          <w:rFonts w:ascii="Times New Roman" w:hAnsi="Times New Roman" w:cs="Times New Roman"/>
          <w:sz w:val="28"/>
          <w:szCs w:val="28"/>
          <w:lang w:val="en-US"/>
        </w:rPr>
        <w:t>equipment ,</w:t>
      </w:r>
      <w:proofErr w:type="gramEnd"/>
      <w:r w:rsidRPr="00901B9C">
        <w:rPr>
          <w:rFonts w:ascii="Times New Roman" w:hAnsi="Times New Roman" w:cs="Times New Roman"/>
          <w:sz w:val="28"/>
          <w:szCs w:val="28"/>
          <w:lang w:val="en-US"/>
        </w:rPr>
        <w:t xml:space="preserve"> fuel, fertilizers. A more favorable ecological situation is developing.</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Among the methods of using fertilizers that can significantly increase their efficiency during the transition to </w:t>
      </w:r>
      <w:proofErr w:type="spellStart"/>
      <w:r w:rsidRPr="00901B9C">
        <w:rPr>
          <w:rFonts w:ascii="Times New Roman" w:hAnsi="Times New Roman" w:cs="Times New Roman"/>
          <w:sz w:val="28"/>
          <w:szCs w:val="28"/>
          <w:lang w:val="en-US"/>
        </w:rPr>
        <w:t>biologized</w:t>
      </w:r>
      <w:proofErr w:type="spellEnd"/>
      <w:r w:rsidRPr="00901B9C">
        <w:rPr>
          <w:rFonts w:ascii="Times New Roman" w:hAnsi="Times New Roman" w:cs="Times New Roman"/>
          <w:sz w:val="28"/>
          <w:szCs w:val="28"/>
          <w:lang w:val="en-US"/>
        </w:rPr>
        <w:t xml:space="preserve"> farming systems, it is necessary to highlight: * an adaptive approach to the choice of optimal doses of fertilizers, taking into account the existing level of soil fertility, the potential for field productivity, moisture reserves in the soil, the quality of predecessors for individual crops; * revision of the existing methods of fertilization, the approach of the place and timing of their introduction to the period of the greatest need for crops to improve mineral nutrition.</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Instead of the most common spreading of fertilizers over the surface of the field, widespread use should be obtained by subsurface, local, local belt and row application, root and foliar dressing, the combined use of fertilizers and plant protection products, biological products. Such an approach will allow, despite the high prices for mineral fertilizers, to achieve their economically efficient use, to promote the growth of soil fertility.</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According to long-term data of the Samara Research Institute of Agriculture, the yield of winter wheat increases with the introduction of complete mineral fertilization by 5 c / ha (15%), spring wheat - by 3.5 c / ha (25.6%), barley - by 5.7 c / ha. ha (25.9%). The quality of products is significantly </w:t>
      </w:r>
      <w:proofErr w:type="gramStart"/>
      <w:r w:rsidRPr="00901B9C">
        <w:rPr>
          <w:rFonts w:ascii="Times New Roman" w:hAnsi="Times New Roman" w:cs="Times New Roman"/>
          <w:sz w:val="28"/>
          <w:szCs w:val="28"/>
          <w:lang w:val="en-US"/>
        </w:rPr>
        <w:t>improved,</w:t>
      </w:r>
      <w:proofErr w:type="gramEnd"/>
      <w:r w:rsidRPr="00901B9C">
        <w:rPr>
          <w:rFonts w:ascii="Times New Roman" w:hAnsi="Times New Roman" w:cs="Times New Roman"/>
          <w:sz w:val="28"/>
          <w:szCs w:val="28"/>
          <w:lang w:val="en-US"/>
        </w:rPr>
        <w:t xml:space="preserve"> preconditions are created for increasing the productivity of arable land in the entire crop rotation due to the aftereffect of fertilizers. Among the </w:t>
      </w:r>
      <w:proofErr w:type="spellStart"/>
      <w:r w:rsidRPr="00901B9C">
        <w:rPr>
          <w:rFonts w:ascii="Times New Roman" w:hAnsi="Times New Roman" w:cs="Times New Roman"/>
          <w:sz w:val="28"/>
          <w:szCs w:val="28"/>
          <w:lang w:val="en-US"/>
        </w:rPr>
        <w:t>agrotechnical</w:t>
      </w:r>
      <w:proofErr w:type="spellEnd"/>
      <w:r w:rsidRPr="00901B9C">
        <w:rPr>
          <w:rFonts w:ascii="Times New Roman" w:hAnsi="Times New Roman" w:cs="Times New Roman"/>
          <w:sz w:val="28"/>
          <w:szCs w:val="28"/>
          <w:lang w:val="en-US"/>
        </w:rPr>
        <w:t xml:space="preserve"> methods that can increase the efficiency of fertilizers, one should especially highlight their use in rationally selected crop rotations. The efficiency of mineral fertilizers increases in crop rotation in comparison with permanent sowing of crops by 30-33%. The greater efficiency of fertilizers in crop rotation is influenced by less </w:t>
      </w:r>
      <w:proofErr w:type="spellStart"/>
      <w:r w:rsidRPr="00901B9C">
        <w:rPr>
          <w:rFonts w:ascii="Times New Roman" w:hAnsi="Times New Roman" w:cs="Times New Roman"/>
          <w:sz w:val="28"/>
          <w:szCs w:val="28"/>
          <w:lang w:val="en-US"/>
        </w:rPr>
        <w:t>weediness</w:t>
      </w:r>
      <w:proofErr w:type="spellEnd"/>
      <w:r w:rsidRPr="00901B9C">
        <w:rPr>
          <w:rFonts w:ascii="Times New Roman" w:hAnsi="Times New Roman" w:cs="Times New Roman"/>
          <w:sz w:val="28"/>
          <w:szCs w:val="28"/>
          <w:lang w:val="en-US"/>
        </w:rPr>
        <w:t xml:space="preserve"> of crops, low damage to crops by specific pests and diseases, and a balance of nutrients consumed.</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In the experiments of the Samara Research Institute of Agriculture in grain-fallow crop rotations of short rotation, the most profitable were intensive technologies involving the use of medium doses of fertilizers, mulching tillage with limited use of herbicides. The grain yield per hectare of arable land increased in comparison with the extensive background from 17.1 to 22.3 c / ha, the energy efficiency coefficient was 1.6 and 2.3, respectively. In grain-fallow crop rotations, technological complexes with an average level of application of fertilizers without herbicides in steam and increased (fertilizers for the design yield + herbicides) are most justified in the row-crop link of the crop rotation.</w:t>
      </w:r>
    </w:p>
    <w:p w:rsidR="00901B9C" w:rsidRPr="00901B9C" w:rsidRDefault="00901B9C" w:rsidP="00901B9C">
      <w:pPr>
        <w:spacing w:after="0" w:line="240" w:lineRule="auto"/>
        <w:ind w:firstLine="709"/>
        <w:jc w:val="both"/>
        <w:rPr>
          <w:rFonts w:ascii="Times New Roman" w:hAnsi="Times New Roman" w:cs="Times New Roman"/>
          <w:sz w:val="28"/>
          <w:szCs w:val="28"/>
        </w:rPr>
      </w:pPr>
      <w:r w:rsidRPr="00901B9C">
        <w:rPr>
          <w:rFonts w:ascii="Times New Roman" w:hAnsi="Times New Roman" w:cs="Times New Roman"/>
          <w:sz w:val="28"/>
          <w:szCs w:val="28"/>
          <w:lang w:val="en-US"/>
        </w:rPr>
        <w:t xml:space="preserve">In conditions of a shortage of material and financial resources, the most important task is to maximize the mobilization of soil and climatic resources through a targeted impact on biological soil processes, creating conditions for the formation of high productivity of agricultural crops with economically justified application of fertilizers. When soil fertility parameters are below optimal, the main fertilizer is applied, </w:t>
      </w:r>
      <w:proofErr w:type="gramStart"/>
      <w:r w:rsidRPr="00901B9C">
        <w:rPr>
          <w:rFonts w:ascii="Times New Roman" w:hAnsi="Times New Roman" w:cs="Times New Roman"/>
          <w:sz w:val="28"/>
          <w:szCs w:val="28"/>
          <w:lang w:val="en-US"/>
        </w:rPr>
        <w:t>which makes it possible to increase the yield to a level limited by precipitation and soil moisture reserves.</w:t>
      </w:r>
      <w:proofErr w:type="gramEnd"/>
      <w:r w:rsidRPr="00901B9C">
        <w:rPr>
          <w:rFonts w:ascii="Times New Roman" w:hAnsi="Times New Roman" w:cs="Times New Roman"/>
          <w:sz w:val="28"/>
          <w:szCs w:val="28"/>
          <w:lang w:val="en-US"/>
        </w:rPr>
        <w:t xml:space="preserve"> The optimal doses of fertilizers should ensure the normal course of natural biological processes in the soil and are calculated taking into account the size of the possible yield, the content of nitrogen, phosphorus and potassium available to plants in the soil, and the moisture supply of crops.</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In intensive technologies with minimal tillage and direct sowing, plants need, above all, nitrogen fertilizers. Doses of application of nitrogen fertilizers are specified depending on the moisture conditions prevailing in different natural zones and the content of mineral nitrogen in the soil (Table 20). When setting the doses of nitrogen fertilizers for spring cereals placed after leguminous or perennial grasses, the fertilizer doses are reduced by 1/3.</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 According to the observations of M.P. Chub in wet years, the yield of spring wheat, the removal of nutrients, the consumption of nitrogen per </w:t>
      </w:r>
      <w:proofErr w:type="spellStart"/>
      <w:r w:rsidRPr="00901B9C">
        <w:rPr>
          <w:rFonts w:ascii="Times New Roman" w:hAnsi="Times New Roman" w:cs="Times New Roman"/>
          <w:sz w:val="28"/>
          <w:szCs w:val="28"/>
          <w:lang w:val="en-US"/>
        </w:rPr>
        <w:t>centner</w:t>
      </w:r>
      <w:proofErr w:type="spellEnd"/>
      <w:r w:rsidRPr="00901B9C">
        <w:rPr>
          <w:rFonts w:ascii="Times New Roman" w:hAnsi="Times New Roman" w:cs="Times New Roman"/>
          <w:sz w:val="28"/>
          <w:szCs w:val="28"/>
          <w:lang w:val="en-US"/>
        </w:rPr>
        <w:t xml:space="preserve">, the efficiency of nitrogen fertilizers and the protein content in the grain is directly dependent on the spring reserves of nitrate nitrogen in the soil. In medium dry years, this relationship is significant only between the reserves of nitrate nitrogen and the efficiency of nitrogen fertilizers. In dry years, the yield and grain quality of spring wheat do not depend on the reserves of nitrate nitrogen. To diagnose nitrogen nutrition in the arid steppe of the Volga region, it is advisable to determine the content of nitrate nitrogen, in her opinion, in the fall in the second half of October to a depth of 0-40 cm, since the practical indicators of this period coincide with their reserves during the spring germination period. The greatest effect of nitrogen fertilizers is observed when the nitrogen content in plants in the </w:t>
      </w:r>
      <w:proofErr w:type="spellStart"/>
      <w:r w:rsidRPr="00901B9C">
        <w:rPr>
          <w:rFonts w:ascii="Times New Roman" w:hAnsi="Times New Roman" w:cs="Times New Roman"/>
          <w:sz w:val="28"/>
          <w:szCs w:val="28"/>
          <w:lang w:val="en-US"/>
        </w:rPr>
        <w:t>tillering</w:t>
      </w:r>
      <w:proofErr w:type="spellEnd"/>
      <w:r w:rsidRPr="00901B9C">
        <w:rPr>
          <w:rFonts w:ascii="Times New Roman" w:hAnsi="Times New Roman" w:cs="Times New Roman"/>
          <w:sz w:val="28"/>
          <w:szCs w:val="28"/>
          <w:lang w:val="en-US"/>
        </w:rPr>
        <w:t xml:space="preserve"> phase is 2.8-3%, in booting - 1.5-1.7%, and in the upper leaves in </w:t>
      </w:r>
      <w:proofErr w:type="spellStart"/>
      <w:r w:rsidRPr="00901B9C">
        <w:rPr>
          <w:rFonts w:ascii="Times New Roman" w:hAnsi="Times New Roman" w:cs="Times New Roman"/>
          <w:sz w:val="28"/>
          <w:szCs w:val="28"/>
          <w:lang w:val="en-US"/>
        </w:rPr>
        <w:t>earing</w:t>
      </w:r>
      <w:proofErr w:type="spellEnd"/>
      <w:r w:rsidRPr="00901B9C">
        <w:rPr>
          <w:rFonts w:ascii="Times New Roman" w:hAnsi="Times New Roman" w:cs="Times New Roman"/>
          <w:sz w:val="28"/>
          <w:szCs w:val="28"/>
          <w:lang w:val="en-US"/>
        </w:rPr>
        <w:t xml:space="preserve"> - flowering - 2.9-3.2%.</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Highly effective methods of using fertilizers with resource-saving technologies are pre-sowing row fertilization and foliar fertilization of grain with nitrogen fertilizers. For pre-sowing starting fertilizer, granular superphosphate, </w:t>
      </w:r>
      <w:proofErr w:type="spellStart"/>
      <w:r w:rsidRPr="00901B9C">
        <w:rPr>
          <w:rFonts w:ascii="Times New Roman" w:hAnsi="Times New Roman" w:cs="Times New Roman"/>
          <w:sz w:val="28"/>
          <w:szCs w:val="28"/>
          <w:lang w:val="en-US"/>
        </w:rPr>
        <w:t>ammophos</w:t>
      </w:r>
      <w:proofErr w:type="spellEnd"/>
      <w:r w:rsidRPr="00901B9C">
        <w:rPr>
          <w:rFonts w:ascii="Times New Roman" w:hAnsi="Times New Roman" w:cs="Times New Roman"/>
          <w:sz w:val="28"/>
          <w:szCs w:val="28"/>
          <w:lang w:val="en-US"/>
        </w:rPr>
        <w:t xml:space="preserve">, </w:t>
      </w:r>
      <w:proofErr w:type="spellStart"/>
      <w:r w:rsidRPr="00901B9C">
        <w:rPr>
          <w:rFonts w:ascii="Times New Roman" w:hAnsi="Times New Roman" w:cs="Times New Roman"/>
          <w:sz w:val="28"/>
          <w:szCs w:val="28"/>
          <w:lang w:val="en-US"/>
        </w:rPr>
        <w:t>nitroammophos</w:t>
      </w:r>
      <w:proofErr w:type="spellEnd"/>
      <w:r w:rsidRPr="00901B9C">
        <w:rPr>
          <w:rFonts w:ascii="Times New Roman" w:hAnsi="Times New Roman" w:cs="Times New Roman"/>
          <w:sz w:val="28"/>
          <w:szCs w:val="28"/>
          <w:lang w:val="en-US"/>
        </w:rPr>
        <w:t xml:space="preserve"> are effective in doses that provide an application of 10-15 kg / ha P2O5. In this case, the payback of nutrients increases to 20-25 kg per 1 kg of </w:t>
      </w:r>
      <w:proofErr w:type="spellStart"/>
      <w:r w:rsidRPr="00901B9C">
        <w:rPr>
          <w:rFonts w:ascii="Times New Roman" w:hAnsi="Times New Roman" w:cs="Times New Roman"/>
          <w:sz w:val="28"/>
          <w:szCs w:val="28"/>
          <w:lang w:val="en-US"/>
        </w:rPr>
        <w:t>ai</w:t>
      </w:r>
      <w:proofErr w:type="spellEnd"/>
      <w:r w:rsidRPr="00901B9C">
        <w:rPr>
          <w:rFonts w:ascii="Times New Roman" w:hAnsi="Times New Roman" w:cs="Times New Roman"/>
          <w:sz w:val="28"/>
          <w:szCs w:val="28"/>
          <w:lang w:val="en-US"/>
        </w:rPr>
        <w:t xml:space="preserve">. </w:t>
      </w:r>
      <w:proofErr w:type="gramStart"/>
      <w:r w:rsidRPr="00901B9C">
        <w:rPr>
          <w:rFonts w:ascii="Times New Roman" w:hAnsi="Times New Roman" w:cs="Times New Roman"/>
          <w:sz w:val="28"/>
          <w:szCs w:val="28"/>
          <w:lang w:val="en-US"/>
        </w:rPr>
        <w:t>fertilizers</w:t>
      </w:r>
      <w:proofErr w:type="gramEnd"/>
      <w:r w:rsidRPr="00901B9C">
        <w:rPr>
          <w:rFonts w:ascii="Times New Roman" w:hAnsi="Times New Roman" w:cs="Times New Roman"/>
          <w:sz w:val="28"/>
          <w:szCs w:val="28"/>
          <w:lang w:val="en-US"/>
        </w:rPr>
        <w:t xml:space="preserve">. In the </w:t>
      </w:r>
      <w:proofErr w:type="spellStart"/>
      <w:r w:rsidRPr="00901B9C">
        <w:rPr>
          <w:rFonts w:ascii="Times New Roman" w:hAnsi="Times New Roman" w:cs="Times New Roman"/>
          <w:sz w:val="28"/>
          <w:szCs w:val="28"/>
          <w:lang w:val="en-US"/>
        </w:rPr>
        <w:t>chernozem</w:t>
      </w:r>
      <w:proofErr w:type="spellEnd"/>
      <w:r w:rsidRPr="00901B9C">
        <w:rPr>
          <w:rFonts w:ascii="Times New Roman" w:hAnsi="Times New Roman" w:cs="Times New Roman"/>
          <w:sz w:val="28"/>
          <w:szCs w:val="28"/>
          <w:lang w:val="en-US"/>
        </w:rPr>
        <w:t xml:space="preserve"> steppe, the main dose of fertilizers is applied during autumn tillage: mineral fertilizers and green manure are embedded under shallow tillage with combined tillage machines.</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The most effective way to use fertilizers in intensive technologies with minimal tillage is their local and local belt application by specially equipped working bodies. In the experiments of the Samara Research Institute of Agriculture, local belt application of starting doses of fertilizers increased the yield of spring cereals by 4.3-5.2 c / ha, top dressing of winter crops in spring - by 2.0-2.5 c / ha, payment for the fertilizer harvest was 6.7 -8.6 kg / kg </w:t>
      </w:r>
      <w:proofErr w:type="spellStart"/>
      <w:r w:rsidRPr="00901B9C">
        <w:rPr>
          <w:rFonts w:ascii="Times New Roman" w:hAnsi="Times New Roman" w:cs="Times New Roman"/>
          <w:sz w:val="28"/>
          <w:szCs w:val="28"/>
          <w:lang w:val="en-US"/>
        </w:rPr>
        <w:t>d.v</w:t>
      </w:r>
      <w:proofErr w:type="spellEnd"/>
      <w:r w:rsidRPr="00901B9C">
        <w:rPr>
          <w:rFonts w:ascii="Times New Roman" w:hAnsi="Times New Roman" w:cs="Times New Roman"/>
          <w:sz w:val="28"/>
          <w:szCs w:val="28"/>
          <w:lang w:val="en-US"/>
        </w:rPr>
        <w:t xml:space="preserve">. Foliar dressing of winter and spring wheat (N30) increased the protein content by 0.8-2%, gluten - by 2-4%. The recoupment of additional costs was 14-15 rubles. </w:t>
      </w:r>
      <w:proofErr w:type="gramStart"/>
      <w:r w:rsidRPr="00901B9C">
        <w:rPr>
          <w:rFonts w:ascii="Times New Roman" w:hAnsi="Times New Roman" w:cs="Times New Roman"/>
          <w:sz w:val="28"/>
          <w:szCs w:val="28"/>
          <w:lang w:val="en-US"/>
        </w:rPr>
        <w:t>for</w:t>
      </w:r>
      <w:proofErr w:type="gramEnd"/>
      <w:r w:rsidRPr="00901B9C">
        <w:rPr>
          <w:rFonts w:ascii="Times New Roman" w:hAnsi="Times New Roman" w:cs="Times New Roman"/>
          <w:sz w:val="28"/>
          <w:szCs w:val="28"/>
          <w:lang w:val="en-US"/>
        </w:rPr>
        <w:t xml:space="preserve"> 1 rub. With differentiated soil cultivation systems, phosphorus-potassium fertilizers can also be added to the stock for deep tillage periodically used in crop rotations.</w:t>
      </w:r>
    </w:p>
    <w:p w:rsidR="00901B9C" w:rsidRPr="00901B9C" w:rsidRDefault="00901B9C" w:rsidP="00901B9C">
      <w:pPr>
        <w:spacing w:after="0" w:line="240" w:lineRule="auto"/>
        <w:ind w:firstLine="709"/>
        <w:jc w:val="both"/>
        <w:rPr>
          <w:rFonts w:ascii="Times New Roman" w:hAnsi="Times New Roman" w:cs="Times New Roman"/>
          <w:sz w:val="28"/>
          <w:szCs w:val="28"/>
        </w:rPr>
      </w:pPr>
      <w:r w:rsidRPr="00901B9C">
        <w:rPr>
          <w:rFonts w:ascii="Times New Roman" w:hAnsi="Times New Roman" w:cs="Times New Roman"/>
          <w:sz w:val="28"/>
          <w:szCs w:val="28"/>
          <w:lang w:val="en-US"/>
        </w:rPr>
        <w:t xml:space="preserve">In the experiments of the Samara Research Institute of Agriculture, the filling doses of fertilizers in grain-and-row crop rotation with dump-free and minimal tillage turned out to be equally effective as fractional doses with 4-fold application per rotation. The collection of products for the rotation was, respectively, when adding to the stock 120.3 </w:t>
      </w:r>
      <w:proofErr w:type="spellStart"/>
      <w:r w:rsidRPr="00901B9C">
        <w:rPr>
          <w:rFonts w:ascii="Times New Roman" w:hAnsi="Times New Roman" w:cs="Times New Roman"/>
          <w:sz w:val="28"/>
          <w:szCs w:val="28"/>
          <w:lang w:val="en-US"/>
        </w:rPr>
        <w:t>centners</w:t>
      </w:r>
      <w:proofErr w:type="spellEnd"/>
      <w:r w:rsidRPr="00901B9C">
        <w:rPr>
          <w:rFonts w:ascii="Times New Roman" w:hAnsi="Times New Roman" w:cs="Times New Roman"/>
          <w:sz w:val="28"/>
          <w:szCs w:val="28"/>
          <w:lang w:val="en-US"/>
        </w:rPr>
        <w:t xml:space="preserve"> and fractionally - 115.7 </w:t>
      </w:r>
      <w:proofErr w:type="spellStart"/>
      <w:r w:rsidRPr="00901B9C">
        <w:rPr>
          <w:rFonts w:ascii="Times New Roman" w:hAnsi="Times New Roman" w:cs="Times New Roman"/>
          <w:sz w:val="28"/>
          <w:szCs w:val="28"/>
          <w:lang w:val="en-US"/>
        </w:rPr>
        <w:t>centners</w:t>
      </w:r>
      <w:proofErr w:type="spellEnd"/>
      <w:r w:rsidRPr="00901B9C">
        <w:rPr>
          <w:rFonts w:ascii="Times New Roman" w:hAnsi="Times New Roman" w:cs="Times New Roman"/>
          <w:sz w:val="28"/>
          <w:szCs w:val="28"/>
          <w:lang w:val="en-US"/>
        </w:rPr>
        <w:t>.</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When switching to intensive resource-saving technologies, it is advisable to use in large volumes highly concentrated fertilizers, which, first of all, include solid complex and liquid complex fertilizers. With intensive technologies with minimal soil cultivation, such fertilizers can be used in a wide range: scattered over the surface of the field, followed by incorporation into the soil with any tillage tool, applied with a belt, applied in top dressing. In terms of efficiency, liquid complex fertilizers are not inferior to fertilizer mixtures, and on </w:t>
      </w:r>
      <w:proofErr w:type="spellStart"/>
      <w:r w:rsidRPr="00901B9C">
        <w:rPr>
          <w:rFonts w:ascii="Times New Roman" w:hAnsi="Times New Roman" w:cs="Times New Roman"/>
          <w:sz w:val="28"/>
          <w:szCs w:val="28"/>
          <w:lang w:val="en-US"/>
        </w:rPr>
        <w:t>chernozem</w:t>
      </w:r>
      <w:proofErr w:type="spellEnd"/>
      <w:r w:rsidRPr="00901B9C">
        <w:rPr>
          <w:rFonts w:ascii="Times New Roman" w:hAnsi="Times New Roman" w:cs="Times New Roman"/>
          <w:sz w:val="28"/>
          <w:szCs w:val="28"/>
          <w:lang w:val="en-US"/>
        </w:rPr>
        <w:t xml:space="preserve"> soils they surpass them. According to long-term averaged data, the increase in the yield of spring wheat from the mixtures of solid mineral fertilizers is 4.8 c / ha, from the HUS - 5.5 c / ha. The most effective use of fertilizers can be achieved by using them in combination with plant protection products and other methods of intensifying crop production.</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The combined use of fertilizers and pesticides, in addition, enhances the effectiveness of each drug and type of fertilizer; additional grain harvests increase due to the interaction of factors. In the experiments of the Samara Research Institute of Agriculture, when sowing spring wheat for non-moldboard cultivation, mineral fertilizers (N45P45) increased the yield by 1.9 c / ha, herbicides 2.4D - by 1.5, and their joint use - by 4.0 c / ha (19 ,five%). With the complex application of fertilizers and herbicides, the highest quality grain was also obtained.</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One of the important directions of increasing the efficiency of fertilizers is the use of promising varieties that provide high yields from the use of fertilizers in comparison with zoned varieties. Such varieties should become indispensable components of modern technologies in </w:t>
      </w:r>
      <w:proofErr w:type="spellStart"/>
      <w:r w:rsidRPr="00901B9C">
        <w:rPr>
          <w:rFonts w:ascii="Times New Roman" w:hAnsi="Times New Roman" w:cs="Times New Roman"/>
          <w:sz w:val="28"/>
          <w:szCs w:val="28"/>
          <w:lang w:val="en-US"/>
        </w:rPr>
        <w:t>biologized</w:t>
      </w:r>
      <w:proofErr w:type="spellEnd"/>
      <w:r w:rsidRPr="00901B9C">
        <w:rPr>
          <w:rFonts w:ascii="Times New Roman" w:hAnsi="Times New Roman" w:cs="Times New Roman"/>
          <w:sz w:val="28"/>
          <w:szCs w:val="28"/>
          <w:lang w:val="en-US"/>
        </w:rPr>
        <w:t xml:space="preserve"> farming systems. </w:t>
      </w:r>
      <w:proofErr w:type="gramStart"/>
      <w:r w:rsidRPr="00901B9C">
        <w:rPr>
          <w:rFonts w:ascii="Times New Roman" w:hAnsi="Times New Roman" w:cs="Times New Roman"/>
          <w:sz w:val="28"/>
          <w:szCs w:val="28"/>
          <w:lang w:val="en-US"/>
        </w:rPr>
        <w:t xml:space="preserve">According to the Samara Research Institute of Agriculture, among the new varieties of soft wheat, soft wheat </w:t>
      </w:r>
      <w:proofErr w:type="spellStart"/>
      <w:r w:rsidRPr="00901B9C">
        <w:rPr>
          <w:rFonts w:ascii="Times New Roman" w:hAnsi="Times New Roman" w:cs="Times New Roman"/>
          <w:sz w:val="28"/>
          <w:szCs w:val="28"/>
          <w:lang w:val="en-US"/>
        </w:rPr>
        <w:t>Tulaykovskaya</w:t>
      </w:r>
      <w:proofErr w:type="spellEnd"/>
      <w:r w:rsidRPr="00901B9C">
        <w:rPr>
          <w:rFonts w:ascii="Times New Roman" w:hAnsi="Times New Roman" w:cs="Times New Roman"/>
          <w:sz w:val="28"/>
          <w:szCs w:val="28"/>
          <w:lang w:val="en-US"/>
        </w:rPr>
        <w:t xml:space="preserve"> 5, </w:t>
      </w:r>
      <w:proofErr w:type="spellStart"/>
      <w:r w:rsidRPr="00901B9C">
        <w:rPr>
          <w:rFonts w:ascii="Times New Roman" w:hAnsi="Times New Roman" w:cs="Times New Roman"/>
          <w:sz w:val="28"/>
          <w:szCs w:val="28"/>
          <w:lang w:val="en-US"/>
        </w:rPr>
        <w:t>Tulaykovskaya</w:t>
      </w:r>
      <w:proofErr w:type="spellEnd"/>
      <w:r w:rsidRPr="00901B9C">
        <w:rPr>
          <w:rFonts w:ascii="Times New Roman" w:hAnsi="Times New Roman" w:cs="Times New Roman"/>
          <w:sz w:val="28"/>
          <w:szCs w:val="28"/>
          <w:lang w:val="en-US"/>
        </w:rPr>
        <w:t xml:space="preserve"> 10.</w:t>
      </w:r>
      <w:proofErr w:type="gramEnd"/>
      <w:r w:rsidRPr="00901B9C">
        <w:rPr>
          <w:rFonts w:ascii="Times New Roman" w:hAnsi="Times New Roman" w:cs="Times New Roman"/>
          <w:sz w:val="28"/>
          <w:szCs w:val="28"/>
          <w:lang w:val="en-US"/>
        </w:rPr>
        <w:t xml:space="preserve"> The conditionally net income from the introduction of starting doses of fertilizers (N30P30K30) stood out for the variety </w:t>
      </w:r>
      <w:proofErr w:type="spellStart"/>
      <w:r w:rsidRPr="00901B9C">
        <w:rPr>
          <w:rFonts w:ascii="Times New Roman" w:hAnsi="Times New Roman" w:cs="Times New Roman"/>
          <w:sz w:val="28"/>
          <w:szCs w:val="28"/>
          <w:lang w:val="en-US"/>
        </w:rPr>
        <w:t>Tulaykovskaya</w:t>
      </w:r>
      <w:proofErr w:type="spellEnd"/>
      <w:r w:rsidRPr="00901B9C">
        <w:rPr>
          <w:rFonts w:ascii="Times New Roman" w:hAnsi="Times New Roman" w:cs="Times New Roman"/>
          <w:sz w:val="28"/>
          <w:szCs w:val="28"/>
          <w:lang w:val="en-US"/>
        </w:rPr>
        <w:t xml:space="preserve"> 10 - 492.7 rubles / ha, for </w:t>
      </w:r>
      <w:proofErr w:type="spellStart"/>
      <w:r w:rsidRPr="00901B9C">
        <w:rPr>
          <w:rFonts w:ascii="Times New Roman" w:hAnsi="Times New Roman" w:cs="Times New Roman"/>
          <w:sz w:val="28"/>
          <w:szCs w:val="28"/>
          <w:lang w:val="en-US"/>
        </w:rPr>
        <w:t>Tulaykovskaya</w:t>
      </w:r>
      <w:proofErr w:type="spellEnd"/>
      <w:r w:rsidRPr="00901B9C">
        <w:rPr>
          <w:rFonts w:ascii="Times New Roman" w:hAnsi="Times New Roman" w:cs="Times New Roman"/>
          <w:sz w:val="28"/>
          <w:szCs w:val="28"/>
          <w:lang w:val="en-US"/>
        </w:rPr>
        <w:t xml:space="preserve"> 5 - 684.7, and for the previously zoned variety </w:t>
      </w:r>
      <w:proofErr w:type="spellStart"/>
      <w:r w:rsidRPr="00901B9C">
        <w:rPr>
          <w:rFonts w:ascii="Times New Roman" w:hAnsi="Times New Roman" w:cs="Times New Roman"/>
          <w:sz w:val="28"/>
          <w:szCs w:val="28"/>
          <w:lang w:val="en-US"/>
        </w:rPr>
        <w:t>Tulaykovskaya</w:t>
      </w:r>
      <w:proofErr w:type="spellEnd"/>
      <w:r w:rsidRPr="00901B9C">
        <w:rPr>
          <w:rFonts w:ascii="Times New Roman" w:hAnsi="Times New Roman" w:cs="Times New Roman"/>
          <w:sz w:val="28"/>
          <w:szCs w:val="28"/>
          <w:lang w:val="en-US"/>
        </w:rPr>
        <w:t xml:space="preserve"> 1 - 324.7 rubles / ha.</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The increase in yield from fertilizers when using new varieties of winter wheat (</w:t>
      </w:r>
      <w:proofErr w:type="spellStart"/>
      <w:r w:rsidRPr="00901B9C">
        <w:rPr>
          <w:rFonts w:ascii="Times New Roman" w:hAnsi="Times New Roman" w:cs="Times New Roman"/>
          <w:sz w:val="28"/>
          <w:szCs w:val="28"/>
          <w:lang w:val="en-US"/>
        </w:rPr>
        <w:t>Svetoch</w:t>
      </w:r>
      <w:proofErr w:type="spellEnd"/>
      <w:r w:rsidRPr="00901B9C">
        <w:rPr>
          <w:rFonts w:ascii="Times New Roman" w:hAnsi="Times New Roman" w:cs="Times New Roman"/>
          <w:sz w:val="28"/>
          <w:szCs w:val="28"/>
          <w:lang w:val="en-US"/>
        </w:rPr>
        <w:t>, etc.) turned out to be 2 times greater than from previously zoned varieties. The fertilizer systems developed on farms should ensure not only an increase in yield, but also a continuous reproduction of soil fertility.</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With the current shortage of manure, special attention should be paid to the introduction of perennial grasses and green manure crops into crop rotations, to maximize the use of straw for fertilization.</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r w:rsidRPr="00901B9C">
        <w:rPr>
          <w:rFonts w:ascii="Times New Roman" w:hAnsi="Times New Roman" w:cs="Times New Roman"/>
          <w:sz w:val="28"/>
          <w:szCs w:val="28"/>
          <w:lang w:val="en-US"/>
        </w:rPr>
        <w:t xml:space="preserve">Long-term data of scientific institutions convincingly prove that in modern conditions the preservation and accumulation of humus reserves in the soil is possible only with the complex application of straw and green manure crops of perennial grasses along with organic fertilizers. In most areas of the Volga region, it is envisaged for the near future to use straw, </w:t>
      </w:r>
      <w:proofErr w:type="spellStart"/>
      <w:r w:rsidRPr="00901B9C">
        <w:rPr>
          <w:rFonts w:ascii="Times New Roman" w:hAnsi="Times New Roman" w:cs="Times New Roman"/>
          <w:sz w:val="28"/>
          <w:szCs w:val="28"/>
          <w:lang w:val="en-US"/>
        </w:rPr>
        <w:t>undersowing</w:t>
      </w:r>
      <w:proofErr w:type="spellEnd"/>
      <w:r w:rsidRPr="00901B9C">
        <w:rPr>
          <w:rFonts w:ascii="Times New Roman" w:hAnsi="Times New Roman" w:cs="Times New Roman"/>
          <w:sz w:val="28"/>
          <w:szCs w:val="28"/>
          <w:lang w:val="en-US"/>
        </w:rPr>
        <w:t xml:space="preserve"> and stubble green manures, and sowing of perennial grasses as biological methods for reproducing soil fertility.</w:t>
      </w: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p w:rsidR="00901B9C" w:rsidRPr="00901B9C" w:rsidRDefault="00901B9C" w:rsidP="00901B9C">
      <w:pPr>
        <w:spacing w:after="0" w:line="240" w:lineRule="auto"/>
        <w:ind w:firstLine="709"/>
        <w:jc w:val="both"/>
        <w:rPr>
          <w:rFonts w:ascii="Times New Roman" w:hAnsi="Times New Roman" w:cs="Times New Roman"/>
          <w:sz w:val="28"/>
          <w:szCs w:val="28"/>
          <w:lang w:val="en-US"/>
        </w:rPr>
      </w:pPr>
    </w:p>
    <w:sectPr w:rsidR="00901B9C" w:rsidRPr="00901B9C" w:rsidSect="00440F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901B9C"/>
    <w:rsid w:val="00440FEA"/>
    <w:rsid w:val="006C516B"/>
    <w:rsid w:val="00901B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0FE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2017</Words>
  <Characters>11497</Characters>
  <Application>Microsoft Office Word</Application>
  <DocSecurity>0</DocSecurity>
  <Lines>95</Lines>
  <Paragraphs>26</Paragraphs>
  <ScaleCrop>false</ScaleCrop>
  <Company/>
  <LinksUpToDate>false</LinksUpToDate>
  <CharactersWithSpaces>13488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2020-10-28T21:14:00Z</dcterms:created>
  <dcterms:modified xsi:type="dcterms:W3CDTF">2020-10-28T21:14:00Z</dcterms:modified>
</cp:coreProperties>
</file>